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8B" w:rsidRDefault="0045728B" w:rsidP="0045728B">
      <w:pPr>
        <w:pStyle w:val="a6"/>
        <w:spacing w:before="120" w:beforeAutospacing="0" w:after="90" w:afterAutospacing="0" w:line="288" w:lineRule="atLeast"/>
        <w:ind w:left="120" w:right="120"/>
        <w:jc w:val="center"/>
        <w:rPr>
          <w:rFonts w:ascii="Kyrghyz Times" w:hAnsi="Kyrghyz Times"/>
          <w:b/>
          <w:color w:val="000000"/>
          <w:sz w:val="28"/>
          <w:szCs w:val="28"/>
          <w:lang w:val="ky-KG"/>
        </w:rPr>
      </w:pPr>
    </w:p>
    <w:p w:rsidR="00F97920" w:rsidRPr="00DE2DD6" w:rsidRDefault="00F97920" w:rsidP="00F97920">
      <w:pPr>
        <w:pStyle w:val="a4"/>
        <w:jc w:val="center"/>
        <w:rPr>
          <w:b/>
          <w:color w:val="0070C0"/>
          <w:sz w:val="28"/>
          <w:szCs w:val="28"/>
          <w:u w:val="single"/>
          <w:lang w:val="ky-KG"/>
        </w:rPr>
      </w:pPr>
      <w:r w:rsidRPr="00DE2DD6">
        <w:rPr>
          <w:b/>
          <w:color w:val="0070C0"/>
          <w:sz w:val="28"/>
          <w:szCs w:val="28"/>
          <w:u w:val="single"/>
          <w:lang w:val="ky-KG"/>
        </w:rPr>
        <w:t xml:space="preserve">Masterсard Standard жана Masterсard Gold </w:t>
      </w:r>
      <w:r w:rsidRPr="00DE2DD6">
        <w:rPr>
          <w:b/>
          <w:color w:val="0070C0"/>
          <w:sz w:val="28"/>
          <w:szCs w:val="28"/>
          <w:lang w:val="ky-KG"/>
        </w:rPr>
        <w:t xml:space="preserve">карта ээлери үчүн </w:t>
      </w:r>
      <w:r w:rsidRPr="00DE2DD6">
        <w:rPr>
          <w:b/>
          <w:color w:val="0070C0"/>
          <w:sz w:val="28"/>
          <w:szCs w:val="28"/>
          <w:u w:val="single"/>
          <w:lang w:val="ky-KG"/>
        </w:rPr>
        <w:t>“Европадагы Чемпиондор Лигасына баралы” акциясы</w:t>
      </w:r>
    </w:p>
    <w:p w:rsidR="00F97920" w:rsidRPr="00DE2DD6" w:rsidRDefault="00F97920" w:rsidP="00F97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97920" w:rsidRPr="00DE2DD6" w:rsidRDefault="00F97920" w:rsidP="00F97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b/>
          <w:sz w:val="28"/>
          <w:szCs w:val="28"/>
          <w:lang w:val="ky-KG"/>
        </w:rPr>
        <w:t>1. Глоссарий:</w:t>
      </w:r>
    </w:p>
    <w:p w:rsidR="00F97920" w:rsidRPr="00DE2DD6" w:rsidRDefault="007827BE" w:rsidP="00F97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b/>
          <w:sz w:val="28"/>
          <w:szCs w:val="28"/>
          <w:lang w:val="ky-KG"/>
        </w:rPr>
        <w:t>1.1. Карта - эсеби</w:t>
      </w:r>
      <w:r w:rsidR="00F97920" w:rsidRPr="00DE2DD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 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Банк тарабынан Кардар үчүн </w:t>
      </w:r>
      <w:r w:rsidR="007244AF" w:rsidRPr="00DE2DD6">
        <w:rPr>
          <w:rFonts w:ascii="Times New Roman" w:hAnsi="Times New Roman" w:cs="Times New Roman"/>
          <w:sz w:val="28"/>
          <w:szCs w:val="28"/>
          <w:lang w:val="ky-KG"/>
        </w:rPr>
        <w:t>АБС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7244AF" w:rsidRPr="00DE2DD6">
        <w:rPr>
          <w:rFonts w:ascii="Times New Roman" w:hAnsi="Times New Roman" w:cs="Times New Roman"/>
          <w:sz w:val="28"/>
          <w:szCs w:val="28"/>
          <w:highlight w:val="cyan"/>
          <w:lang w:val="ky-KG"/>
        </w:rPr>
        <w:t>РБС</w:t>
      </w:r>
      <w:r w:rsidR="007244AF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системаларында ачылган банк эсеби, аны Банк кардары картаны колдонуу менен </w:t>
      </w:r>
      <w:r w:rsidR="007244AF" w:rsidRPr="00DE2DD6">
        <w:rPr>
          <w:rFonts w:ascii="Times New Roman" w:hAnsi="Times New Roman" w:cs="Times New Roman"/>
          <w:sz w:val="28"/>
          <w:szCs w:val="28"/>
          <w:lang w:val="ky-KG"/>
        </w:rPr>
        <w:t>тескей алыша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т. </w:t>
      </w:r>
      <w:r w:rsidR="000D4363" w:rsidRPr="00DE2DD6">
        <w:rPr>
          <w:rFonts w:ascii="Times New Roman" w:hAnsi="Times New Roman" w:cs="Times New Roman"/>
          <w:sz w:val="28"/>
          <w:szCs w:val="28"/>
          <w:lang w:val="ky-KG"/>
        </w:rPr>
        <w:t>Акча к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>аражаттар</w:t>
      </w:r>
      <w:r w:rsidR="000D4363" w:rsidRPr="00DE2DD6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карт</w:t>
      </w:r>
      <w:r w:rsidR="007244AF" w:rsidRPr="00DE2DD6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эсебине чегер</w:t>
      </w:r>
      <w:r w:rsidR="000D4363" w:rsidRPr="00DE2DD6">
        <w:rPr>
          <w:rFonts w:ascii="Times New Roman" w:hAnsi="Times New Roman" w:cs="Times New Roman"/>
          <w:sz w:val="28"/>
          <w:szCs w:val="28"/>
          <w:lang w:val="ky-KG"/>
        </w:rPr>
        <w:t>илет жана карта</w:t>
      </w:r>
      <w:r w:rsidR="00D91E0C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аркылуу</w:t>
      </w:r>
      <w:r w:rsidR="00DC7B23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андан ары сарпт</w:t>
      </w:r>
      <w:r w:rsidR="000D4363" w:rsidRPr="00DE2DD6">
        <w:rPr>
          <w:rFonts w:ascii="Times New Roman" w:hAnsi="Times New Roman" w:cs="Times New Roman"/>
          <w:sz w:val="28"/>
          <w:szCs w:val="28"/>
          <w:lang w:val="ky-KG"/>
        </w:rPr>
        <w:t>алат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97920" w:rsidRPr="00DE2DD6" w:rsidRDefault="00F97920" w:rsidP="00F97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F97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b/>
          <w:sz w:val="28"/>
          <w:szCs w:val="28"/>
          <w:lang w:val="ky-KG"/>
        </w:rPr>
        <w:t>1.2. Кошумча карта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- бул кардардын негизги картасына чыгарылган жана негизги карта менен бирдиктүү карт эсеби бар банк картасы.</w:t>
      </w:r>
    </w:p>
    <w:p w:rsidR="00F97920" w:rsidRPr="00DE2DD6" w:rsidRDefault="00F97920" w:rsidP="00F97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97920" w:rsidRPr="00DE2DD6" w:rsidRDefault="00F97920" w:rsidP="00A5198A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D6">
        <w:rPr>
          <w:rFonts w:ascii="Times New Roman" w:hAnsi="Times New Roman" w:cs="Times New Roman"/>
          <w:b/>
          <w:sz w:val="28"/>
          <w:szCs w:val="28"/>
          <w:lang w:val="ky-KG"/>
        </w:rPr>
        <w:t>Жалпы жоболор</w:t>
      </w:r>
    </w:p>
    <w:p w:rsidR="00F97920" w:rsidRPr="00DE2DD6" w:rsidRDefault="00F97920" w:rsidP="000305D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Жүргүзүлүп жаткан жарнамалык бул Акция  сүрөмөлөөчү лотерея болуп саналбайт</w:t>
      </w:r>
      <w:r w:rsidR="00D815A5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жана кардарлар арасында Mastercard төлөм карталарын колдонууну жайылтууга багытталган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97920" w:rsidRPr="00DE2DD6" w:rsidRDefault="001A20E5" w:rsidP="001A20E5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2.2. Жеңүүчү ушул Эрежелерде көрсөтүлгөн шарттардын аткарылышына жараша аныкталат. 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>Жеңүүчүнү аныктоодо туш келүү ыкмасы (жеңүүчүнү эркин тандай турган алгоритмди колдонуу) жокко эсе.</w:t>
      </w:r>
      <w:r w:rsidR="00D05B8E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97920" w:rsidRPr="00DE2DD6" w:rsidRDefault="001A20E5" w:rsidP="001A20E5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2.3.</w:t>
      </w:r>
      <w:r w:rsidR="00F97920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“РСК Банк" ААК</w:t>
      </w:r>
      <w:r w:rsidR="00F97920" w:rsidRPr="00DE2DD6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="00F97920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жана</w:t>
      </w:r>
      <w:r w:rsidR="00F97920" w:rsidRPr="00DE2DD6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Mastercard Europe SA компания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Акциянын уюштуруучулары болуп саналышат.</w:t>
      </w:r>
    </w:p>
    <w:p w:rsidR="00F97920" w:rsidRPr="00DE2DD6" w:rsidRDefault="00F97920" w:rsidP="00F97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1A20E5" w:rsidP="000305DE">
      <w:pPr>
        <w:pStyle w:val="a3"/>
        <w:numPr>
          <w:ilvl w:val="0"/>
          <w:numId w:val="5"/>
        </w:numPr>
        <w:spacing w:after="120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DE2DD6">
        <w:rPr>
          <w:rFonts w:ascii="Times New Roman" w:hAnsi="Times New Roman" w:cs="Times New Roman"/>
          <w:b/>
          <w:sz w:val="28"/>
          <w:szCs w:val="28"/>
          <w:lang w:val="ky-KG"/>
        </w:rPr>
        <w:t>Акция</w:t>
      </w:r>
      <w:r w:rsidR="00F97920" w:rsidRPr="00DE2DD6">
        <w:rPr>
          <w:rFonts w:ascii="Times New Roman" w:hAnsi="Times New Roman" w:cs="Times New Roman"/>
          <w:b/>
          <w:sz w:val="28"/>
          <w:szCs w:val="28"/>
          <w:lang w:val="ky-KG"/>
        </w:rPr>
        <w:t>нын максаты:</w:t>
      </w:r>
    </w:p>
    <w:p w:rsidR="00F97920" w:rsidRPr="00DE2DD6" w:rsidRDefault="00F97920" w:rsidP="005875BC">
      <w:pPr>
        <w:pStyle w:val="a4"/>
        <w:numPr>
          <w:ilvl w:val="1"/>
          <w:numId w:val="14"/>
        </w:numPr>
        <w:spacing w:line="276" w:lineRule="auto"/>
        <w:jc w:val="both"/>
        <w:rPr>
          <w:sz w:val="28"/>
          <w:szCs w:val="28"/>
          <w:lang w:val="ky-KG"/>
        </w:rPr>
      </w:pPr>
      <w:bookmarkStart w:id="0" w:name="_Hlk514405888"/>
      <w:r w:rsidRPr="00DE2DD6">
        <w:rPr>
          <w:color w:val="000000"/>
          <w:sz w:val="28"/>
          <w:szCs w:val="28"/>
          <w:lang w:val="ky-KG"/>
        </w:rPr>
        <w:t xml:space="preserve">“РСК Банк" ААК </w:t>
      </w:r>
      <w:r w:rsidR="001A20E5" w:rsidRPr="00DE2DD6">
        <w:rPr>
          <w:color w:val="000000"/>
          <w:sz w:val="28"/>
          <w:szCs w:val="28"/>
          <w:lang w:val="ky-KG"/>
        </w:rPr>
        <w:t xml:space="preserve">тарабынан </w:t>
      </w:r>
      <w:r w:rsidRPr="00DE2DD6">
        <w:rPr>
          <w:color w:val="000000"/>
          <w:sz w:val="28"/>
          <w:szCs w:val="28"/>
          <w:lang w:val="ky-KG"/>
        </w:rPr>
        <w:t xml:space="preserve">чыгарылган </w:t>
      </w:r>
      <w:r w:rsidRPr="00DE2DD6">
        <w:rPr>
          <w:sz w:val="28"/>
          <w:szCs w:val="28"/>
          <w:lang w:val="ky-KG"/>
        </w:rPr>
        <w:t>«</w:t>
      </w:r>
      <w:r w:rsidR="001A20E5" w:rsidRPr="00DE2DD6">
        <w:rPr>
          <w:sz w:val="28"/>
          <w:szCs w:val="28"/>
          <w:lang w:val="ky-KG"/>
        </w:rPr>
        <w:t>Mastercard</w:t>
      </w:r>
      <w:r w:rsidRPr="00DE2DD6">
        <w:rPr>
          <w:sz w:val="28"/>
          <w:szCs w:val="28"/>
          <w:lang w:val="ky-KG"/>
        </w:rPr>
        <w:t xml:space="preserve">» төлөм карталары боюнча кардарларды нак эмес түрдө төлөөгө тартуу жана аларга көмөктөшүү. </w:t>
      </w:r>
      <w:bookmarkEnd w:id="0"/>
      <w:r w:rsidRPr="00DE2DD6">
        <w:rPr>
          <w:sz w:val="28"/>
          <w:szCs w:val="28"/>
          <w:lang w:val="ky-KG"/>
        </w:rPr>
        <w:t xml:space="preserve"> </w:t>
      </w:r>
    </w:p>
    <w:p w:rsidR="00F97920" w:rsidRPr="00DE2DD6" w:rsidRDefault="00F97920" w:rsidP="005875BC">
      <w:pPr>
        <w:pStyle w:val="a4"/>
        <w:numPr>
          <w:ilvl w:val="1"/>
          <w:numId w:val="14"/>
        </w:numPr>
        <w:spacing w:line="276" w:lineRule="auto"/>
        <w:jc w:val="both"/>
        <w:rPr>
          <w:sz w:val="28"/>
          <w:szCs w:val="28"/>
          <w:lang w:val="ky-KG"/>
        </w:rPr>
      </w:pPr>
      <w:r w:rsidRPr="00DE2DD6">
        <w:rPr>
          <w:sz w:val="28"/>
          <w:szCs w:val="28"/>
          <w:lang w:val="ky-KG"/>
        </w:rPr>
        <w:t>«</w:t>
      </w:r>
      <w:r w:rsidR="001A20E5" w:rsidRPr="00DE2DD6">
        <w:rPr>
          <w:sz w:val="28"/>
          <w:szCs w:val="28"/>
          <w:lang w:val="ky-KG"/>
        </w:rPr>
        <w:t>Mastercard» төлөм карталар</w:t>
      </w:r>
      <w:r w:rsidRPr="00DE2DD6">
        <w:rPr>
          <w:sz w:val="28"/>
          <w:szCs w:val="28"/>
          <w:lang w:val="ky-KG"/>
        </w:rPr>
        <w:t xml:space="preserve">ы боюнча аймактарда нак эмес  төлөмдөрдүн көлөмүн көбөйтүү. </w:t>
      </w:r>
    </w:p>
    <w:p w:rsidR="00F97920" w:rsidRPr="00DE2DD6" w:rsidRDefault="00F97920" w:rsidP="00F97920">
      <w:pPr>
        <w:pStyle w:val="a4"/>
        <w:spacing w:line="276" w:lineRule="auto"/>
        <w:jc w:val="both"/>
        <w:rPr>
          <w:sz w:val="28"/>
          <w:szCs w:val="28"/>
          <w:lang w:val="ky-KG"/>
        </w:rPr>
      </w:pPr>
    </w:p>
    <w:p w:rsidR="00F97920" w:rsidRPr="00DE2DD6" w:rsidRDefault="00F97920" w:rsidP="00DE2DD6">
      <w:pPr>
        <w:pStyle w:val="a3"/>
        <w:numPr>
          <w:ilvl w:val="0"/>
          <w:numId w:val="14"/>
        </w:numPr>
        <w:spacing w:before="120" w:after="120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DD6">
        <w:rPr>
          <w:rFonts w:ascii="Times New Roman" w:hAnsi="Times New Roman" w:cs="Times New Roman"/>
          <w:b/>
          <w:sz w:val="28"/>
          <w:szCs w:val="28"/>
        </w:rPr>
        <w:t>Акци</w:t>
      </w:r>
      <w:proofErr w:type="spellEnd"/>
      <w:r w:rsidRPr="00DE2DD6">
        <w:rPr>
          <w:rFonts w:ascii="Times New Roman" w:hAnsi="Times New Roman" w:cs="Times New Roman"/>
          <w:b/>
          <w:sz w:val="28"/>
          <w:szCs w:val="28"/>
          <w:lang w:val="ky-KG"/>
        </w:rPr>
        <w:t>яны өткөрүү мезгил аралыгы</w:t>
      </w:r>
    </w:p>
    <w:p w:rsidR="00F97920" w:rsidRPr="00DE2DD6" w:rsidRDefault="00F97920" w:rsidP="00F97920">
      <w:pPr>
        <w:pStyle w:val="a3"/>
        <w:spacing w:before="120" w:after="12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97920" w:rsidRPr="00DE2DD6" w:rsidRDefault="001A20E5" w:rsidP="001A20E5">
      <w:pPr>
        <w:pStyle w:val="a3"/>
        <w:ind w:left="716"/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</w:pPr>
      <w:r w:rsidRPr="00DE2DD6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 xml:space="preserve">Негизги этап </w:t>
      </w:r>
      <w:r w:rsidR="00F97920" w:rsidRPr="00DE2DD6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202</w:t>
      </w:r>
      <w:r w:rsidRPr="00DE2DD6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4</w:t>
      </w:r>
      <w:r w:rsidR="00F97920" w:rsidRPr="00DE2DD6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-жылдын 1-</w:t>
      </w:r>
      <w:r w:rsidRPr="00DE2DD6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апрелинен</w:t>
      </w:r>
      <w:r w:rsidR="00F97920" w:rsidRPr="00DE2DD6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 xml:space="preserve">  тартып  2024-жылдын </w:t>
      </w:r>
      <w:r w:rsidRPr="00DE2DD6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30</w:t>
      </w:r>
      <w:r w:rsidR="00F97920" w:rsidRPr="00DE2DD6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 xml:space="preserve">- </w:t>
      </w:r>
      <w:r w:rsidRPr="00DE2DD6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сентябры</w:t>
      </w:r>
      <w:r w:rsidR="00F97920" w:rsidRPr="00DE2DD6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на  чейин:</w:t>
      </w:r>
    </w:p>
    <w:p w:rsidR="00F97920" w:rsidRPr="00DE2DD6" w:rsidRDefault="00F97920" w:rsidP="00F97920">
      <w:pPr>
        <w:pStyle w:val="a3"/>
        <w:ind w:left="716"/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</w:pPr>
    </w:p>
    <w:p w:rsidR="001A20E5" w:rsidRPr="00DE2DD6" w:rsidRDefault="001A20E5" w:rsidP="001A20E5">
      <w:pPr>
        <w:pStyle w:val="a3"/>
        <w:ind w:left="1436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u w:val="single"/>
          <w:lang w:val="ky-KG"/>
        </w:rPr>
        <w:t>2024-жылдын 1-апрелинен  тартып  2024-жылдын 15 майына  чейин</w:t>
      </w:r>
      <w:r w:rsidR="00AF49C1" w:rsidRPr="00DE2DD6"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 – 1-этап</w:t>
      </w:r>
    </w:p>
    <w:p w:rsidR="00AF49C1" w:rsidRPr="00DE2DD6" w:rsidRDefault="00AF49C1" w:rsidP="00AF49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lastRenderedPageBreak/>
        <w:t>2024-жылдын 16-майын</w:t>
      </w:r>
      <w:r w:rsidR="005875BC" w:rsidRPr="00DE2DD6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н  тартып  2024-жылдын 30- июнуна  чейин – 2-этап</w:t>
      </w:r>
    </w:p>
    <w:p w:rsidR="00AF49C1" w:rsidRPr="00DE2DD6" w:rsidRDefault="00AF49C1" w:rsidP="00AF49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2024-жылдын 1-июлунан  тартып  2024-жылдын 15 августуна  чейин – 3-этап</w:t>
      </w:r>
    </w:p>
    <w:p w:rsidR="00AF49C1" w:rsidRPr="00DE2DD6" w:rsidRDefault="00AF49C1" w:rsidP="00AF49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2024-жылдын 16-августунан  тартып  2024-жылдын 30- сентябрына  чейин – 4-этап</w:t>
      </w:r>
    </w:p>
    <w:p w:rsidR="00F97920" w:rsidRPr="00DE2DD6" w:rsidRDefault="00F97920" w:rsidP="00F97920">
      <w:pPr>
        <w:pStyle w:val="a3"/>
        <w:spacing w:before="120" w:after="120"/>
        <w:ind w:left="357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F49C1" w:rsidRPr="00DE2DD6" w:rsidRDefault="00AF49C1" w:rsidP="00F97920">
      <w:pPr>
        <w:pStyle w:val="a3"/>
        <w:spacing w:before="120" w:after="120"/>
        <w:ind w:left="357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97920" w:rsidRPr="00DE2DD6" w:rsidRDefault="00F97920" w:rsidP="005875BC">
      <w:pPr>
        <w:pStyle w:val="a3"/>
        <w:numPr>
          <w:ilvl w:val="0"/>
          <w:numId w:val="14"/>
        </w:numPr>
        <w:spacing w:before="120" w:after="120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DD6">
        <w:rPr>
          <w:rFonts w:ascii="Times New Roman" w:hAnsi="Times New Roman" w:cs="Times New Roman"/>
          <w:b/>
          <w:sz w:val="28"/>
          <w:szCs w:val="28"/>
        </w:rPr>
        <w:t>Акци</w:t>
      </w:r>
      <w:proofErr w:type="spellEnd"/>
      <w:r w:rsidRPr="00DE2DD6">
        <w:rPr>
          <w:rFonts w:ascii="Times New Roman" w:hAnsi="Times New Roman" w:cs="Times New Roman"/>
          <w:b/>
          <w:sz w:val="28"/>
          <w:szCs w:val="28"/>
          <w:lang w:val="ky-KG"/>
        </w:rPr>
        <w:t>янын катышуучулары</w:t>
      </w:r>
    </w:p>
    <w:p w:rsidR="00FA311B" w:rsidRPr="00DE2DD6" w:rsidRDefault="00FA311B" w:rsidP="00FA311B">
      <w:pPr>
        <w:pStyle w:val="a3"/>
        <w:spacing w:before="120" w:after="12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F97920" w:rsidRPr="00DE2DD6" w:rsidRDefault="00F97920" w:rsidP="00FA311B">
      <w:pPr>
        <w:spacing w:before="120" w:after="90" w:line="288" w:lineRule="atLeast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«РСК Банк» 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чыгарылган  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«</w:t>
      </w:r>
      <w:proofErr w:type="spellStart"/>
      <w:r w:rsidR="00AF49C1" w:rsidRPr="00DE2DD6">
        <w:rPr>
          <w:rFonts w:ascii="Times New Roman" w:hAnsi="Times New Roman" w:cs="Times New Roman"/>
          <w:sz w:val="28"/>
          <w:szCs w:val="28"/>
          <w:lang w:val="en-US"/>
        </w:rPr>
        <w:t>Mastercard</w:t>
      </w:r>
      <w:proofErr w:type="spellEnd"/>
      <w:r w:rsidRPr="00DE2DD6">
        <w:rPr>
          <w:rFonts w:ascii="Times New Roman" w:hAnsi="Times New Roman" w:cs="Times New Roman"/>
          <w:sz w:val="28"/>
          <w:szCs w:val="28"/>
          <w:lang w:val="ky-KG"/>
        </w:rPr>
        <w:t>»  карт</w:t>
      </w:r>
      <w:r w:rsidR="00AF49C1" w:rsidRPr="00DE2DD6">
        <w:rPr>
          <w:rFonts w:ascii="Times New Roman" w:hAnsi="Times New Roman" w:cs="Times New Roman"/>
          <w:sz w:val="28"/>
          <w:szCs w:val="28"/>
          <w:lang w:val="ky-KG"/>
        </w:rPr>
        <w:t>ал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AF49C1" w:rsidRPr="00DE2DD6">
        <w:rPr>
          <w:rFonts w:ascii="Times New Roman" w:hAnsi="Times New Roman" w:cs="Times New Roman"/>
          <w:sz w:val="28"/>
          <w:szCs w:val="28"/>
          <w:lang w:val="ky-KG"/>
        </w:rPr>
        <w:t>ры боюнча Акция мезгилинде нак эмес операцияларды жүргүзүүчү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18 жаш курагына жеткен </w:t>
      </w:r>
      <w:r w:rsidR="00AF49C1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КР жарандары -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жеке адамдар.</w:t>
      </w:r>
    </w:p>
    <w:p w:rsidR="00F97920" w:rsidRPr="00DE2DD6" w:rsidRDefault="00F97920" w:rsidP="00F97920">
      <w:pPr>
        <w:spacing w:before="120" w:after="90" w:line="288" w:lineRule="atLeast"/>
        <w:ind w:left="120" w:right="120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F97920" w:rsidRPr="00DE2DD6" w:rsidRDefault="00F97920" w:rsidP="00DE2DD6">
      <w:pPr>
        <w:pStyle w:val="a3"/>
        <w:numPr>
          <w:ilvl w:val="0"/>
          <w:numId w:val="14"/>
        </w:numPr>
        <w:spacing w:before="120" w:after="90" w:line="288" w:lineRule="atLeast"/>
        <w:ind w:left="426" w:right="120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Акцияга катышуу тартиби</w:t>
      </w:r>
    </w:p>
    <w:p w:rsidR="00F97920" w:rsidRPr="00DE2DD6" w:rsidRDefault="00F97920" w:rsidP="00F97920">
      <w:pPr>
        <w:pStyle w:val="a3"/>
        <w:spacing w:before="120" w:after="90" w:line="288" w:lineRule="atLeast"/>
        <w:ind w:left="360" w:right="120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</w:p>
    <w:p w:rsidR="00730B31" w:rsidRPr="00DE2DD6" w:rsidRDefault="00F97920" w:rsidP="005875BC">
      <w:pPr>
        <w:pStyle w:val="a3"/>
        <w:numPr>
          <w:ilvl w:val="1"/>
          <w:numId w:val="14"/>
        </w:numPr>
        <w:spacing w:before="120" w:after="90" w:line="288" w:lineRule="atLeast"/>
        <w:ind w:right="120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Бул Акцияга катышуу үчүн Карта ээси </w:t>
      </w:r>
      <w:r w:rsidR="00781B8E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«РСК Банк» ААК тарабынан 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чыгарылган  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781B8E" w:rsidRPr="00DE2DD6">
        <w:rPr>
          <w:rFonts w:ascii="Times New Roman" w:hAnsi="Times New Roman" w:cs="Times New Roman"/>
          <w:sz w:val="28"/>
          <w:szCs w:val="28"/>
          <w:lang w:val="ky-KG"/>
        </w:rPr>
        <w:t>Mastercard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» </w:t>
      </w:r>
      <w:r w:rsidR="00781B8E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карталар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ы аркылуу </w:t>
      </w:r>
      <w:r w:rsidR="00C377BB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Акциянын толук мезгилинде кайсы валютада болбосун </w:t>
      </w:r>
      <w:r w:rsidR="00730B31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товарлар жана </w:t>
      </w:r>
      <w:r w:rsidR="00C377BB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кызмат көрсөтүүлөр үчүн нак</w:t>
      </w:r>
      <w:r w:rsidR="00730B31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эмес төлөмдөрдү, анын ичинде Интернет төлөмдөрүн жүргүзүүсү керек.</w:t>
      </w:r>
    </w:p>
    <w:p w:rsidR="00C377BB" w:rsidRPr="00DE2DD6" w:rsidRDefault="00C377BB" w:rsidP="00C377BB">
      <w:pPr>
        <w:spacing w:before="120" w:after="90" w:line="288" w:lineRule="atLeast"/>
        <w:ind w:right="120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F97920" w:rsidRDefault="00CC16F3" w:rsidP="005875BC">
      <w:pPr>
        <w:pStyle w:val="a3"/>
        <w:numPr>
          <w:ilvl w:val="1"/>
          <w:numId w:val="14"/>
        </w:numPr>
        <w:spacing w:before="120" w:after="90" w:line="288" w:lineRule="atLeast"/>
        <w:ind w:right="120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Эсептешүү</w:t>
      </w:r>
      <w:r w:rsidR="00C377BB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үчүн негизги жана бир кошумча 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карта менен жүргүзүлгөн нак</w:t>
      </w:r>
      <w:r w:rsidR="00C377BB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эмес транзакциялар кабыл алынат, алар </w:t>
      </w:r>
      <w:r w:rsidRPr="00C21135">
        <w:rPr>
          <w:rFonts w:ascii="Times New Roman" w:hAnsi="Times New Roman" w:cs="Times New Roman"/>
          <w:color w:val="000000"/>
          <w:sz w:val="28"/>
          <w:szCs w:val="28"/>
          <w:highlight w:val="cyan"/>
          <w:lang w:val="ky-KG"/>
        </w:rPr>
        <w:t>соода-сервис ишканаларында жайгаштырылган</w:t>
      </w:r>
      <w:r w:rsidR="00C377BB" w:rsidRPr="00C21135">
        <w:rPr>
          <w:rFonts w:ascii="Times New Roman" w:hAnsi="Times New Roman" w:cs="Times New Roman"/>
          <w:color w:val="000000"/>
          <w:sz w:val="28"/>
          <w:szCs w:val="28"/>
          <w:highlight w:val="cyan"/>
          <w:lang w:val="ky-KG"/>
        </w:rPr>
        <w:t xml:space="preserve"> </w:t>
      </w:r>
      <w:r w:rsidRPr="00C21135">
        <w:rPr>
          <w:rFonts w:ascii="Times New Roman" w:hAnsi="Times New Roman" w:cs="Times New Roman"/>
          <w:color w:val="000000"/>
          <w:sz w:val="28"/>
          <w:szCs w:val="28"/>
          <w:highlight w:val="cyan"/>
          <w:lang w:val="ky-KG"/>
        </w:rPr>
        <w:t>аппараттарда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377BB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жана интернет дүкөндөрүндө 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ийгиликтүү бол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ууга тийиш</w:t>
      </w:r>
      <w:r w:rsidR="00C377BB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. 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Эгерде бир нече кошумча карта</w:t>
      </w:r>
      <w:r w:rsidR="00C377BB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болсо, анда эсепке кошумча карталардын ичинен максималдуу транзакция</w:t>
      </w:r>
      <w:r w:rsidR="00B10FCB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сы</w:t>
      </w:r>
      <w:r w:rsidR="00C377BB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менен кошумча карта кабыл алынат.</w:t>
      </w:r>
    </w:p>
    <w:p w:rsidR="00C21135" w:rsidRPr="00C21135" w:rsidRDefault="00C21135" w:rsidP="00C21135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F97920" w:rsidRPr="00DE2DD6" w:rsidRDefault="00F97920" w:rsidP="005875BC">
      <w:pPr>
        <w:pStyle w:val="a3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bookmarkStart w:id="1" w:name="_GoBack"/>
      <w:bookmarkEnd w:id="1"/>
      <w:r w:rsidRPr="00DE2DD6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Акцияга катышуу үчүн төмөнкүдөй операциялар эсепке алынбайт: </w:t>
      </w:r>
    </w:p>
    <w:p w:rsidR="00F97920" w:rsidRPr="00DE2DD6" w:rsidRDefault="00F97920" w:rsidP="00F97920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F97920" w:rsidRPr="00DE2DD6" w:rsidRDefault="00F97920" w:rsidP="00CC16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DE2DD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карта эсебинен акча каражаттарын алуу/ карта эсебине акча каражаттарын салуу; </w:t>
      </w:r>
    </w:p>
    <w:p w:rsidR="00CC16F3" w:rsidRPr="00DE2DD6" w:rsidRDefault="00CC16F3" w:rsidP="00A72F9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DE2DD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банктын кассасында кызмат көрсөтүүлөр үчүн төлөө, </w:t>
      </w:r>
      <w:r w:rsidRPr="00DE2DD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RSK24</w:t>
      </w:r>
      <w:r w:rsidRPr="00DE2DD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мобилдик/интернет-банкингдеги төлөмдөр жана которуулар, банкоматтарда жана Банктын 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cash-in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аппараттарында </w:t>
      </w:r>
      <w:r w:rsidRPr="00DE2DD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төлөмдөр жана которуулар</w:t>
      </w:r>
      <w:r w:rsidRPr="00DE2DD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.</w:t>
      </w:r>
    </w:p>
    <w:p w:rsidR="00F97920" w:rsidRPr="00DE2DD6" w:rsidRDefault="00F97920" w:rsidP="00A72F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hanging="12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DE2DD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билип туруп майдаланган суммалар, тактап айтканда, 30 мүнөт ичинде бир эле соода-тейлөө ишканасында,  бир эле ошол соода түйүнүндө  бир эле  ошол товар же кызмат көрсөтүү үчүн  </w:t>
      </w:r>
      <w:r w:rsidRPr="00DE2DD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lastRenderedPageBreak/>
        <w:t xml:space="preserve">катарынан бир нече (1ден көп) </w:t>
      </w:r>
      <w:r w:rsidR="001E7DE5" w:rsidRPr="00DE2DD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транзакция</w:t>
      </w:r>
      <w:r w:rsidR="001A45B1" w:rsidRPr="00DE2DD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.</w:t>
      </w:r>
      <w:r w:rsidRPr="00DE2DD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1A45B1" w:rsidRPr="00DE2DD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Эгерде, бул транзакциялар майдаланган болсо,</w:t>
      </w:r>
      <w:r w:rsidRPr="00DE2DD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негизги жана кошумча карталар менен өткөрүлгөн төлөмдөр экенине  карабастан,  эсепке 1 (бир) гана транзакция катары кабыл алынат. </w:t>
      </w:r>
    </w:p>
    <w:p w:rsidR="00F97920" w:rsidRPr="00DE2DD6" w:rsidRDefault="00F97920" w:rsidP="00F97920">
      <w:pPr>
        <w:pStyle w:val="a3"/>
        <w:spacing w:before="100" w:beforeAutospacing="1" w:after="100" w:afterAutospacing="1" w:line="240" w:lineRule="auto"/>
        <w:ind w:left="1436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p w:rsidR="00F97920" w:rsidRPr="00DE2DD6" w:rsidRDefault="00F97920" w:rsidP="00F9792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1E7DE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y-KG"/>
        </w:rPr>
      </w:pPr>
      <w:r w:rsidRPr="00DE2DD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y-KG"/>
        </w:rPr>
        <w:t>Жеңүүчүлөрдү аныктоо шарттары:</w:t>
      </w:r>
    </w:p>
    <w:p w:rsidR="00F97920" w:rsidRPr="00DE2DD6" w:rsidRDefault="00F97920" w:rsidP="00F979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</w:p>
    <w:p w:rsidR="00F97920" w:rsidRPr="00DE2DD6" w:rsidRDefault="00F97920" w:rsidP="005875BC">
      <w:pPr>
        <w:pStyle w:val="a3"/>
        <w:numPr>
          <w:ilvl w:val="1"/>
          <w:numId w:val="14"/>
        </w:numPr>
        <w:spacing w:before="120" w:after="90" w:line="288" w:lineRule="atLeast"/>
        <w:ind w:right="120" w:hanging="716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Аралык этаптар</w:t>
      </w:r>
      <w:r w:rsidR="001A45B1" w:rsidRPr="00DE2DD6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дагы жеңүүчүлөр</w:t>
      </w:r>
      <w:r w:rsidRPr="00DE2DD6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:</w:t>
      </w:r>
    </w:p>
    <w:p w:rsidR="00F97920" w:rsidRPr="00DE2DD6" w:rsidRDefault="00F97920" w:rsidP="00F1214A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транзакциялардын  эң көп саны боюнча, Акциянын  мөөнөтү ичинде  бир </w:t>
      </w:r>
      <w:r w:rsidR="001A45B1" w:rsidRPr="00DE2DD6">
        <w:rPr>
          <w:rFonts w:ascii="Times New Roman" w:hAnsi="Times New Roman" w:cs="Times New Roman"/>
          <w:sz w:val="28"/>
          <w:szCs w:val="28"/>
          <w:lang w:val="ky-KG"/>
        </w:rPr>
        <w:t>эсеп менен өткөрүлгөн 30 (отуз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) транзакциядан кем эмес, мында бир транзакциянын суммасы </w:t>
      </w:r>
      <w:r w:rsidR="001A45B1" w:rsidRPr="00DE2DD6">
        <w:rPr>
          <w:rFonts w:ascii="Times New Roman" w:hAnsi="Times New Roman" w:cs="Times New Roman"/>
          <w:sz w:val="28"/>
          <w:szCs w:val="28"/>
          <w:lang w:val="ky-KG"/>
        </w:rPr>
        <w:t>500 (беш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жүз) сомдон көп болууга тийиш.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Аралык этапта</w:t>
      </w:r>
      <w:r w:rsidR="001A45B1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рда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1A45B1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4 катышуучу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жеңүүчү аныкталат. </w:t>
      </w:r>
    </w:p>
    <w:p w:rsidR="00F97920" w:rsidRPr="00DE2DD6" w:rsidRDefault="00F97920" w:rsidP="00F97920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5875BC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b/>
          <w:sz w:val="28"/>
          <w:szCs w:val="28"/>
          <w:lang w:val="ky-KG"/>
        </w:rPr>
        <w:t>Негизги этап</w:t>
      </w:r>
      <w:r w:rsidR="001A45B1" w:rsidRPr="00DE2DD6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та жеңүүчүлөрдү </w:t>
      </w:r>
      <w:r w:rsidR="001A45B1" w:rsidRPr="00DE2DD6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аныктоо</w:t>
      </w:r>
      <w:r w:rsidRPr="00DE2DD6"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F97920" w:rsidRPr="00DE2DD6" w:rsidRDefault="001A45B1" w:rsidP="001A45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>ранзакциялардын  эң көп саны боюнча, Акциянын  мөөнөтү ичинде  бир карта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-эсеби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менен өткөрүлгөн (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100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транзакциядан кем эмес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, мында бир транзакциянын суммасы 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>00 (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беш 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>жүз) сомдон көп болууга тийиш.</w:t>
      </w:r>
      <w:r w:rsidR="00F97920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А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кциянын негизги </w:t>
      </w:r>
      <w:r w:rsidR="00E84910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этабында</w:t>
      </w:r>
      <w:r w:rsidR="00F97920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1 (бир) </w:t>
      </w:r>
      <w:r w:rsidR="00E84910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гана </w:t>
      </w:r>
      <w:r w:rsidR="00F97920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жеңүүчү аныкталат. </w:t>
      </w:r>
    </w:p>
    <w:p w:rsidR="00F97920" w:rsidRPr="00DE2DD6" w:rsidRDefault="00F97920" w:rsidP="00F97920">
      <w:pPr>
        <w:pStyle w:val="a3"/>
        <w:ind w:left="0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F97920">
      <w:pPr>
        <w:pStyle w:val="a3"/>
        <w:tabs>
          <w:tab w:val="left" w:pos="284"/>
        </w:tabs>
        <w:autoSpaceDE w:val="0"/>
        <w:autoSpaceDN w:val="0"/>
        <w:spacing w:after="0" w:line="240" w:lineRule="auto"/>
        <w:ind w:left="716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F97920" w:rsidRPr="00DE2DD6" w:rsidRDefault="000609A4" w:rsidP="00DE2DD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DD6">
        <w:rPr>
          <w:rFonts w:ascii="Times New Roman" w:hAnsi="Times New Roman" w:cs="Times New Roman"/>
          <w:b/>
          <w:sz w:val="28"/>
          <w:szCs w:val="28"/>
          <w:lang w:val="ky-KG"/>
        </w:rPr>
        <w:t>Акциянын байге</w:t>
      </w:r>
      <w:r w:rsidR="00F97920" w:rsidRPr="00DE2DD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бюджети:</w:t>
      </w:r>
    </w:p>
    <w:p w:rsidR="00F97920" w:rsidRPr="00DE2DD6" w:rsidRDefault="00F97920" w:rsidP="00F97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920" w:rsidRPr="00DE2DD6" w:rsidRDefault="00F97920" w:rsidP="00F97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3398"/>
        <w:gridCol w:w="3237"/>
      </w:tblGrid>
      <w:tr w:rsidR="00F97920" w:rsidRPr="00DE2DD6" w:rsidTr="00A72931">
        <w:trPr>
          <w:trHeight w:val="155"/>
        </w:trPr>
        <w:tc>
          <w:tcPr>
            <w:tcW w:w="2176" w:type="dxa"/>
            <w:shd w:val="clear" w:color="auto" w:fill="F2F2F2"/>
            <w:hideMark/>
          </w:tcPr>
          <w:p w:rsidR="00F97920" w:rsidRPr="00DE2DD6" w:rsidRDefault="00F97920" w:rsidP="00A72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2DD6">
              <w:rPr>
                <w:rFonts w:ascii="Times New Roman" w:hAnsi="Times New Roman" w:cs="Times New Roman"/>
                <w:b/>
                <w:sz w:val="28"/>
                <w:szCs w:val="28"/>
              </w:rPr>
              <w:t>Этаптар</w:t>
            </w:r>
            <w:proofErr w:type="spellEnd"/>
          </w:p>
        </w:tc>
        <w:tc>
          <w:tcPr>
            <w:tcW w:w="3398" w:type="dxa"/>
            <w:shd w:val="clear" w:color="auto" w:fill="F2F2F2"/>
            <w:hideMark/>
          </w:tcPr>
          <w:p w:rsidR="00F97920" w:rsidRPr="00DE2DD6" w:rsidRDefault="00F97920" w:rsidP="00A729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E2DD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Байгелер</w:t>
            </w:r>
          </w:p>
        </w:tc>
        <w:tc>
          <w:tcPr>
            <w:tcW w:w="3237" w:type="dxa"/>
            <w:shd w:val="clear" w:color="auto" w:fill="F2F2F2"/>
            <w:hideMark/>
          </w:tcPr>
          <w:p w:rsidR="00F97920" w:rsidRPr="00DE2DD6" w:rsidRDefault="00F97920" w:rsidP="00A729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E2DD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Саны </w:t>
            </w:r>
          </w:p>
        </w:tc>
      </w:tr>
      <w:tr w:rsidR="00E84910" w:rsidRPr="00DE2DD6" w:rsidTr="00A72931">
        <w:trPr>
          <w:trHeight w:val="318"/>
        </w:trPr>
        <w:tc>
          <w:tcPr>
            <w:tcW w:w="2176" w:type="dxa"/>
            <w:hideMark/>
          </w:tcPr>
          <w:p w:rsidR="00E84910" w:rsidRPr="00DE2DD6" w:rsidRDefault="00E84910" w:rsidP="00E8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1-этап</w:t>
            </w:r>
          </w:p>
        </w:tc>
        <w:tc>
          <w:tcPr>
            <w:tcW w:w="3398" w:type="dxa"/>
          </w:tcPr>
          <w:p w:rsidR="00E84910" w:rsidRPr="00DE2DD6" w:rsidRDefault="00E84910" w:rsidP="00E8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IPhone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3237" w:type="dxa"/>
            <w:hideMark/>
          </w:tcPr>
          <w:p w:rsidR="00E84910" w:rsidRPr="00DE2DD6" w:rsidRDefault="00E84910" w:rsidP="00E84910">
            <w:pPr>
              <w:pStyle w:val="a4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DE2DD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E84910" w:rsidRPr="00DE2DD6" w:rsidTr="00A72931">
        <w:trPr>
          <w:trHeight w:val="312"/>
        </w:trPr>
        <w:tc>
          <w:tcPr>
            <w:tcW w:w="2176" w:type="dxa"/>
            <w:hideMark/>
          </w:tcPr>
          <w:p w:rsidR="00E84910" w:rsidRPr="00DE2DD6" w:rsidRDefault="00E84910" w:rsidP="00E8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398" w:type="dxa"/>
          </w:tcPr>
          <w:p w:rsidR="00E84910" w:rsidRPr="00DE2DD6" w:rsidRDefault="00E84910" w:rsidP="00E8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IPhone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3237" w:type="dxa"/>
            <w:hideMark/>
          </w:tcPr>
          <w:p w:rsidR="00E84910" w:rsidRPr="00DE2DD6" w:rsidRDefault="00E84910" w:rsidP="00E84910">
            <w:pPr>
              <w:pStyle w:val="a4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DE2DD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E84910" w:rsidRPr="00DE2DD6" w:rsidTr="00A72931">
        <w:trPr>
          <w:trHeight w:val="318"/>
        </w:trPr>
        <w:tc>
          <w:tcPr>
            <w:tcW w:w="2176" w:type="dxa"/>
            <w:hideMark/>
          </w:tcPr>
          <w:p w:rsidR="00E84910" w:rsidRPr="00DE2DD6" w:rsidRDefault="00E84910" w:rsidP="00E8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3-этап</w:t>
            </w:r>
          </w:p>
        </w:tc>
        <w:tc>
          <w:tcPr>
            <w:tcW w:w="3398" w:type="dxa"/>
          </w:tcPr>
          <w:p w:rsidR="00E84910" w:rsidRPr="00DE2DD6" w:rsidRDefault="00E84910" w:rsidP="00E8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IPhone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3237" w:type="dxa"/>
            <w:hideMark/>
          </w:tcPr>
          <w:p w:rsidR="00E84910" w:rsidRPr="00DE2DD6" w:rsidRDefault="00E84910" w:rsidP="00E84910">
            <w:pPr>
              <w:pStyle w:val="a4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DE2DD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E84910" w:rsidRPr="00DE2DD6" w:rsidTr="00A72931">
        <w:trPr>
          <w:trHeight w:val="318"/>
        </w:trPr>
        <w:tc>
          <w:tcPr>
            <w:tcW w:w="2176" w:type="dxa"/>
          </w:tcPr>
          <w:p w:rsidR="00E84910" w:rsidRPr="00DE2DD6" w:rsidRDefault="00E84910" w:rsidP="00E8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4-этап</w:t>
            </w:r>
          </w:p>
        </w:tc>
        <w:tc>
          <w:tcPr>
            <w:tcW w:w="3398" w:type="dxa"/>
          </w:tcPr>
          <w:p w:rsidR="00E84910" w:rsidRPr="00DE2DD6" w:rsidRDefault="00E84910" w:rsidP="00E8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IPhone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3237" w:type="dxa"/>
          </w:tcPr>
          <w:p w:rsidR="00E84910" w:rsidRPr="00DE2DD6" w:rsidRDefault="00E84910" w:rsidP="00E84910">
            <w:pPr>
              <w:pStyle w:val="a4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DE2DD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F97920" w:rsidRPr="00DE2DD6" w:rsidTr="00A72931">
        <w:trPr>
          <w:trHeight w:val="312"/>
        </w:trPr>
        <w:tc>
          <w:tcPr>
            <w:tcW w:w="2176" w:type="dxa"/>
            <w:hideMark/>
          </w:tcPr>
          <w:p w:rsidR="00F97920" w:rsidRPr="00DE2DD6" w:rsidRDefault="00F97920" w:rsidP="00A7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Негизги </w:t>
            </w:r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398" w:type="dxa"/>
            <w:hideMark/>
          </w:tcPr>
          <w:p w:rsidR="00F97920" w:rsidRPr="00DE2DD6" w:rsidRDefault="003045ED" w:rsidP="0030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Сүйүктүү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командаңыздын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футболдук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беттешине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Европага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эки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адамга жолдомо</w:t>
            </w:r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(7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жашоого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учактар</w:t>
            </w:r>
            <w:proofErr w:type="spellEnd"/>
            <w:r w:rsidRPr="00DE2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акысыз</w:t>
            </w:r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37" w:type="dxa"/>
            <w:hideMark/>
          </w:tcPr>
          <w:p w:rsidR="00F97920" w:rsidRPr="00DE2DD6" w:rsidRDefault="00F97920" w:rsidP="00A7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97920" w:rsidRPr="00DE2DD6" w:rsidRDefault="00F97920" w:rsidP="00F979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7920" w:rsidRPr="00DE2DD6" w:rsidRDefault="00F97920" w:rsidP="00F97920">
      <w:pPr>
        <w:pStyle w:val="a3"/>
        <w:tabs>
          <w:tab w:val="left" w:pos="851"/>
        </w:tabs>
        <w:spacing w:after="0"/>
        <w:ind w:left="716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DE2DD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D6">
        <w:rPr>
          <w:rFonts w:ascii="Times New Roman" w:hAnsi="Times New Roman" w:cs="Times New Roman"/>
          <w:b/>
          <w:sz w:val="28"/>
          <w:szCs w:val="28"/>
          <w:lang w:val="ky-KG"/>
        </w:rPr>
        <w:t>Кошумча шарттар:</w:t>
      </w:r>
    </w:p>
    <w:p w:rsidR="00F97920" w:rsidRPr="00DE2DD6" w:rsidRDefault="00F97920" w:rsidP="00F97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7920" w:rsidRPr="00DE2DD6" w:rsidRDefault="00F97920" w:rsidP="005875BC">
      <w:pPr>
        <w:pStyle w:val="a3"/>
        <w:numPr>
          <w:ilvl w:val="1"/>
          <w:numId w:val="14"/>
        </w:numPr>
        <w:tabs>
          <w:tab w:val="left" w:pos="284"/>
          <w:tab w:val="left" w:pos="127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Акцияга </w:t>
      </w:r>
      <w:r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>Банк</w:t>
      </w:r>
      <w:r w:rsidR="003045ED" w:rsidRPr="00DE2D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тын 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кызматкерлери жана алардын жакын туугандары </w:t>
      </w:r>
      <w:r w:rsidR="003045ED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(ата-энелери, жубайлары, балдары) 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катыша алышпайт.</w:t>
      </w:r>
    </w:p>
    <w:p w:rsidR="00F97920" w:rsidRPr="00DE2DD6" w:rsidRDefault="00F97920" w:rsidP="00F97920">
      <w:pPr>
        <w:pStyle w:val="a3"/>
        <w:tabs>
          <w:tab w:val="left" w:pos="284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7920" w:rsidRPr="00DE2DD6" w:rsidRDefault="00F97920" w:rsidP="005875BC">
      <w:pPr>
        <w:pStyle w:val="a3"/>
        <w:numPr>
          <w:ilvl w:val="1"/>
          <w:numId w:val="14"/>
        </w:numPr>
        <w:tabs>
          <w:tab w:val="left" w:pos="284"/>
          <w:tab w:val="left" w:pos="127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E2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y-KG"/>
        </w:rPr>
        <w:t xml:space="preserve">Акцияга катышуу жана анын шарттары менен макул болуу  ушул эрежелердин </w:t>
      </w:r>
      <w:r w:rsidRPr="00DE2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4,5,6</w:t>
      </w:r>
      <w:r w:rsidR="003045ED" w:rsidRPr="00DE2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y-KG"/>
        </w:rPr>
        <w:t>,7</w:t>
      </w:r>
      <w:r w:rsidRPr="00DE2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y-KG"/>
        </w:rPr>
        <w:t xml:space="preserve">-кичи пункттарын аткаруу менен тастыкталат.  </w:t>
      </w:r>
    </w:p>
    <w:p w:rsidR="00F97920" w:rsidRPr="00DE2DD6" w:rsidRDefault="00F97920" w:rsidP="00F97920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5875BC">
      <w:pPr>
        <w:pStyle w:val="a3"/>
        <w:numPr>
          <w:ilvl w:val="1"/>
          <w:numId w:val="14"/>
        </w:numPr>
        <w:tabs>
          <w:tab w:val="left" w:pos="284"/>
          <w:tab w:val="left" w:pos="1276"/>
        </w:tabs>
        <w:ind w:hanging="71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Бир эле ошол кардар аралык эта</w:t>
      </w:r>
      <w:r w:rsidR="003045ED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пта гана  байге  ээси боло алат, бирок  негизги этапта жеңишке ээ </w:t>
      </w:r>
      <w:r w:rsidR="003045ED" w:rsidRPr="00DE2DD6">
        <w:rPr>
          <w:rFonts w:ascii="Times New Roman" w:hAnsi="Times New Roman" w:cs="Times New Roman"/>
          <w:sz w:val="28"/>
          <w:szCs w:val="28"/>
          <w:highlight w:val="cyan"/>
          <w:lang w:val="ky-KG"/>
        </w:rPr>
        <w:t xml:space="preserve">болууга ат салыша </w:t>
      </w:r>
      <w:r w:rsidRPr="00DE2DD6">
        <w:rPr>
          <w:rFonts w:ascii="Times New Roman" w:hAnsi="Times New Roman" w:cs="Times New Roman"/>
          <w:sz w:val="28"/>
          <w:szCs w:val="28"/>
          <w:highlight w:val="cyan"/>
          <w:lang w:val="ky-KG"/>
        </w:rPr>
        <w:t xml:space="preserve"> а</w:t>
      </w:r>
      <w:r w:rsidR="003045ED" w:rsidRPr="00DE2DD6">
        <w:rPr>
          <w:rFonts w:ascii="Times New Roman" w:hAnsi="Times New Roman" w:cs="Times New Roman"/>
          <w:sz w:val="28"/>
          <w:szCs w:val="28"/>
          <w:highlight w:val="cyan"/>
          <w:lang w:val="ky-KG"/>
        </w:rPr>
        <w:t>л</w:t>
      </w:r>
      <w:r w:rsidRPr="00DE2DD6">
        <w:rPr>
          <w:rFonts w:ascii="Times New Roman" w:hAnsi="Times New Roman" w:cs="Times New Roman"/>
          <w:sz w:val="28"/>
          <w:szCs w:val="28"/>
          <w:highlight w:val="cyan"/>
          <w:lang w:val="ky-KG"/>
        </w:rPr>
        <w:t>ат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97920" w:rsidRPr="00DE2DD6" w:rsidRDefault="00F97920" w:rsidP="00F97920">
      <w:pPr>
        <w:pStyle w:val="a3"/>
        <w:tabs>
          <w:tab w:val="left" w:pos="284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91849" w:rsidRPr="00DE2DD6" w:rsidRDefault="00D91849" w:rsidP="005875BC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  <w:highlight w:val="yellow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9.4. Эгерде которуулардын максималдуу саны эки кардарда бирдей болсо, анда нак эмес төлөмдөрдүн максималдуу көлөмү менен кардар жеңүүчү болуп саналат.</w:t>
      </w:r>
    </w:p>
    <w:p w:rsidR="00D91849" w:rsidRPr="00DE2DD6" w:rsidRDefault="00D91849" w:rsidP="00D91849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ky-KG"/>
        </w:rPr>
      </w:pPr>
    </w:p>
    <w:p w:rsidR="00F97920" w:rsidRPr="00DE2DD6" w:rsidRDefault="00D91849" w:rsidP="005875BC">
      <w:pPr>
        <w:pStyle w:val="a3"/>
        <w:numPr>
          <w:ilvl w:val="1"/>
          <w:numId w:val="14"/>
        </w:numPr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Mastercard картасын колдонгон мурунку Акциялардын байге ээлери Акцияга катыша албайт.</w:t>
      </w:r>
    </w:p>
    <w:p w:rsidR="00D91849" w:rsidRPr="00DE2DD6" w:rsidRDefault="00D91849" w:rsidP="00D91849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D91849" w:rsidRPr="00DE2DD6" w:rsidRDefault="00D91849" w:rsidP="005875BC">
      <w:pPr>
        <w:pStyle w:val="a3"/>
        <w:numPr>
          <w:ilvl w:val="1"/>
          <w:numId w:val="14"/>
        </w:numPr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Эгерде жеңүүчү сүйүктүү командасынын беттеши үчүн Европага Шенген визасын албаса, Жеңүүчү </w:t>
      </w:r>
      <w:r w:rsidR="00F34654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визасыз режимдеги өлкөгө ушуга окшогон 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саякатка билет алат.</w:t>
      </w:r>
    </w:p>
    <w:p w:rsidR="00D91849" w:rsidRPr="00DE2DD6" w:rsidRDefault="00D91849" w:rsidP="00D91849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5875BC">
      <w:pPr>
        <w:pStyle w:val="a3"/>
        <w:numPr>
          <w:ilvl w:val="1"/>
          <w:numId w:val="14"/>
        </w:numPr>
        <w:tabs>
          <w:tab w:val="left" w:pos="284"/>
          <w:tab w:val="left" w:pos="127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Байгелерди алууга байланыштуу транспорттук жана башка чыгымдарды жеңүүчүлөр өздөрү көтөрүшөт.</w:t>
      </w:r>
    </w:p>
    <w:p w:rsidR="00D91849" w:rsidRPr="00DE2DD6" w:rsidRDefault="00D91849" w:rsidP="00D91849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D91849" w:rsidRPr="00DE2DD6" w:rsidRDefault="00D91849" w:rsidP="005875BC">
      <w:pPr>
        <w:pStyle w:val="a3"/>
        <w:numPr>
          <w:ilvl w:val="1"/>
          <w:numId w:val="14"/>
        </w:numPr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Байгелерди алуу менен байланышкан салык чегерүүлөрдү Акциянын Уюштуруучусу көтөрөт.</w:t>
      </w:r>
      <w:r w:rsidR="00F34654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97920" w:rsidRPr="00DE2DD6" w:rsidRDefault="00F97920" w:rsidP="00F97920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F97920">
      <w:pPr>
        <w:pStyle w:val="a3"/>
        <w:tabs>
          <w:tab w:val="left" w:pos="284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DE2DD6">
      <w:pPr>
        <w:pStyle w:val="a3"/>
        <w:numPr>
          <w:ilvl w:val="0"/>
          <w:numId w:val="14"/>
        </w:numPr>
        <w:spacing w:after="0"/>
        <w:ind w:left="851" w:hanging="709"/>
        <w:rPr>
          <w:rFonts w:ascii="Times New Roman" w:hAnsi="Times New Roman" w:cs="Times New Roman"/>
          <w:b/>
          <w:sz w:val="28"/>
          <w:szCs w:val="28"/>
        </w:rPr>
      </w:pPr>
      <w:r w:rsidRPr="00DE2DD6">
        <w:rPr>
          <w:rFonts w:ascii="Times New Roman" w:hAnsi="Times New Roman" w:cs="Times New Roman"/>
          <w:b/>
          <w:sz w:val="28"/>
          <w:szCs w:val="28"/>
          <w:lang w:val="ky-KG"/>
        </w:rPr>
        <w:t>Жеңүүчүлөрдү аныктоонун жыйынтыктары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F97920" w:rsidRPr="00DE2DD6" w:rsidRDefault="00F97920" w:rsidP="00DE2DD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7920" w:rsidRPr="00DE2DD6" w:rsidRDefault="00F97920" w:rsidP="00F34654">
      <w:pPr>
        <w:pStyle w:val="a3"/>
        <w:numPr>
          <w:ilvl w:val="1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Жеңүүчүлөрдү аныктоо үчүн мүчөлөрдүн курамы Банк Башкармасынын токтому менен бекитилген комиссия түзүлөт.</w:t>
      </w:r>
    </w:p>
    <w:p w:rsidR="00F97920" w:rsidRPr="00DE2DD6" w:rsidRDefault="00F97920" w:rsidP="00F97920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F34654">
      <w:pPr>
        <w:pStyle w:val="a3"/>
        <w:numPr>
          <w:ilvl w:val="1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Акциянын жеңүүчүлөрүнүн курамы Комиссиянын отрумунун протоколу менен тастыкталып, Банк Башкармасынын токтому менен бекитилет.</w:t>
      </w:r>
    </w:p>
    <w:p w:rsidR="00F97920" w:rsidRPr="00DE2DD6" w:rsidRDefault="00F97920" w:rsidP="00F97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920" w:rsidRPr="00DE2DD6" w:rsidRDefault="00F97920" w:rsidP="00F34654">
      <w:pPr>
        <w:pStyle w:val="a3"/>
        <w:numPr>
          <w:ilvl w:val="1"/>
          <w:numId w:val="9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lastRenderedPageBreak/>
        <w:t>Башкарма төмөндөгүдөй чечимдердин бирин бир тараптуу тартипте кабыл ала алат:</w:t>
      </w:r>
    </w:p>
    <w:p w:rsidR="00F97920" w:rsidRPr="00DE2DD6" w:rsidRDefault="00F97920" w:rsidP="00F34654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Акциянын шарттарына толуктоолорду жана өзгөртүүлөрдү  киргизүү;</w:t>
      </w:r>
    </w:p>
    <w:p w:rsidR="00E06906" w:rsidRPr="00DE2DD6" w:rsidRDefault="00F97920" w:rsidP="00E0690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Бүтүндөй банк боюнча кандайдыр бир жагдайлар же конкреттүү материалдар боюнча Акциянын аракетин белгилүү бир мөөнөткө токтото турууга же токтотуп коюга.</w:t>
      </w:r>
    </w:p>
    <w:p w:rsidR="00E06906" w:rsidRPr="00DE2DD6" w:rsidRDefault="00E06906" w:rsidP="00E06906">
      <w:pPr>
        <w:pStyle w:val="a3"/>
        <w:tabs>
          <w:tab w:val="left" w:pos="851"/>
        </w:tabs>
        <w:ind w:left="142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E06906">
      <w:pPr>
        <w:pStyle w:val="a3"/>
        <w:numPr>
          <w:ilvl w:val="1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t xml:space="preserve">Акциянын </w:t>
      </w:r>
      <w:r w:rsidR="00F34654" w:rsidRPr="00DE2D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t xml:space="preserve">башкы жана аралык этаптарынын </w:t>
      </w:r>
      <w:r w:rsidRPr="00DE2D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t xml:space="preserve">жеңүүчүлөрү тууралуу маалымат Банктын </w:t>
      </w:r>
      <w:r w:rsidRPr="00DE2DD6">
        <w:rPr>
          <w:rFonts w:ascii="Times New Roman" w:hAnsi="Times New Roman" w:cs="Times New Roman"/>
          <w:sz w:val="28"/>
          <w:szCs w:val="28"/>
        </w:rPr>
        <w:fldChar w:fldCharType="begin"/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instrText xml:space="preserve"> HYPERLINK "http://www.rsk.kg" </w:instrText>
      </w:r>
      <w:r w:rsidRPr="00DE2DD6">
        <w:rPr>
          <w:rFonts w:ascii="Times New Roman" w:hAnsi="Times New Roman" w:cs="Times New Roman"/>
          <w:sz w:val="28"/>
          <w:szCs w:val="28"/>
        </w:rPr>
        <w:fldChar w:fldCharType="separate"/>
      </w:r>
      <w:r w:rsidRPr="00DE2D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t>www.rsk.kg</w:t>
      </w:r>
      <w:r w:rsidRPr="00DE2D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 веб-сайтына</w:t>
      </w:r>
      <w:r w:rsidR="00E06906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жайгаштырылат.</w:t>
      </w:r>
    </w:p>
    <w:p w:rsidR="00F97920" w:rsidRPr="00DE2DD6" w:rsidRDefault="00F97920" w:rsidP="00F97920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F34654">
      <w:pPr>
        <w:pStyle w:val="a3"/>
        <w:numPr>
          <w:ilvl w:val="1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Банк жеңүүчүлөргө  жеңүүчү аныкталган учурдан тартып 10 күндүн ичинде Акциянын жыйынтыктары жана байге тапшыруу аземи боло турган күн тууралуу телефон аркылуу маалымдайт.</w:t>
      </w:r>
    </w:p>
    <w:p w:rsidR="00F97920" w:rsidRPr="00DE2DD6" w:rsidRDefault="00F97920" w:rsidP="00F97920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E06906">
      <w:pPr>
        <w:pStyle w:val="a3"/>
        <w:numPr>
          <w:ilvl w:val="1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Байланыш маалыматтарынын берилиши жана берилген маалыматтардын  аныктыгы үчүн жоопкерчиликти Акциянын катышуучусу өзү тартат.</w:t>
      </w:r>
    </w:p>
    <w:p w:rsidR="00F97920" w:rsidRPr="00DE2DD6" w:rsidRDefault="00F97920" w:rsidP="00F97920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E06906" w:rsidRPr="00DE2DD6" w:rsidRDefault="00F97920" w:rsidP="00E06906">
      <w:pPr>
        <w:pStyle w:val="a3"/>
        <w:numPr>
          <w:ilvl w:val="1"/>
          <w:numId w:val="8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Банк жеңүүчүнү убагында кабарлоого жолтоо болгон туура эмес </w:t>
      </w:r>
    </w:p>
    <w:p w:rsidR="00F97920" w:rsidRPr="00DE2DD6" w:rsidRDefault="00F97920" w:rsidP="00E06906">
      <w:pPr>
        <w:pStyle w:val="a3"/>
        <w:tabs>
          <w:tab w:val="left" w:pos="851"/>
        </w:tabs>
        <w:ind w:left="141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көрсөтүлгөн реквизиттер, мобилдик жана стационардык  байланыш операторлорунун торчосундагы кайсы болбосун мүчүлүштүктөр үчүн жооптуу болбойт.  </w:t>
      </w:r>
    </w:p>
    <w:p w:rsidR="00F97920" w:rsidRPr="00DE2DD6" w:rsidRDefault="00F97920" w:rsidP="00F97920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9224DE" w:rsidRPr="00DE2DD6" w:rsidRDefault="00F97920" w:rsidP="009224DE">
      <w:pPr>
        <w:pStyle w:val="a3"/>
        <w:numPr>
          <w:ilvl w:val="1"/>
          <w:numId w:val="8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Акцияда жеңүүчү болгондугу тууралуу кабарлоо жеңүүчүнүн </w:t>
      </w:r>
    </w:p>
    <w:p w:rsidR="00F97920" w:rsidRPr="00DE2DD6" w:rsidRDefault="00F97920" w:rsidP="009224DE">
      <w:pPr>
        <w:tabs>
          <w:tab w:val="left" w:pos="851"/>
        </w:tabs>
        <w:ind w:left="141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өзүнүн айынан мүмкүн болбогон, ошондой эле Акциянын жыйынтыгы тууралуу жеңүүчүгө маалымат берилген жана Банктын сайтына жыйынты</w:t>
      </w:r>
      <w:r w:rsidR="00FF7095" w:rsidRPr="00DE2DD6">
        <w:rPr>
          <w:rFonts w:ascii="Times New Roman" w:hAnsi="Times New Roman" w:cs="Times New Roman"/>
          <w:sz w:val="28"/>
          <w:szCs w:val="28"/>
          <w:lang w:val="ky-KG"/>
        </w:rPr>
        <w:t>к жайгаштырылган күндөн тартып 1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0 </w:t>
      </w:r>
      <w:r w:rsidR="00FF7095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календардык 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күндүн ичинде жеңүүчү өзү келбеген болсо, бул Акциянын жеңүүчүсү катары Акциянын кийинки катышуучусу таанылат.</w:t>
      </w:r>
    </w:p>
    <w:p w:rsidR="00F97920" w:rsidRPr="00DE2DD6" w:rsidRDefault="00F97920" w:rsidP="0095616D">
      <w:pPr>
        <w:pStyle w:val="a3"/>
        <w:numPr>
          <w:ilvl w:val="1"/>
          <w:numId w:val="8"/>
        </w:numPr>
        <w:tabs>
          <w:tab w:val="left" w:pos="851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Акциянын шарттарына толуктоолорду жана өзгөртүүлөрдү  киргизүү же Акциянын аракеттенүүсүн токтотуу тууралуу чечим кабыл алынган учурда, Акциянын катышуучулары бул тууралуу Банктын корпоративдик сайтына жайгаштырылган жарыя аркылуу кабардар болушат </w:t>
      </w:r>
      <w:r w:rsidRPr="00DE2DD6">
        <w:rPr>
          <w:rFonts w:ascii="Times New Roman" w:hAnsi="Times New Roman" w:cs="Times New Roman"/>
          <w:sz w:val="28"/>
          <w:szCs w:val="28"/>
        </w:rPr>
        <w:fldChar w:fldCharType="begin"/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instrText xml:space="preserve"> HYPERLINK "http://www.rsk.kg" </w:instrText>
      </w:r>
      <w:r w:rsidRPr="00DE2DD6">
        <w:rPr>
          <w:rFonts w:ascii="Times New Roman" w:hAnsi="Times New Roman" w:cs="Times New Roman"/>
          <w:sz w:val="28"/>
          <w:szCs w:val="28"/>
        </w:rPr>
        <w:fldChar w:fldCharType="separate"/>
      </w:r>
      <w:r w:rsidRPr="00DE2DD6">
        <w:rPr>
          <w:rStyle w:val="a5"/>
          <w:rFonts w:ascii="Times New Roman" w:hAnsi="Times New Roman" w:cs="Times New Roman"/>
          <w:sz w:val="28"/>
          <w:szCs w:val="28"/>
          <w:lang w:val="ky-KG"/>
        </w:rPr>
        <w:t>www.rsk.kg</w:t>
      </w:r>
      <w:r w:rsidRPr="00DE2DD6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F97920" w:rsidRDefault="00F97920" w:rsidP="00F97920">
      <w:pPr>
        <w:pStyle w:val="a3"/>
        <w:tabs>
          <w:tab w:val="left" w:pos="851"/>
        </w:tabs>
        <w:ind w:left="85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E2DD6" w:rsidRDefault="00DE2DD6" w:rsidP="00F97920">
      <w:pPr>
        <w:pStyle w:val="a3"/>
        <w:tabs>
          <w:tab w:val="left" w:pos="851"/>
        </w:tabs>
        <w:ind w:left="85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E2DD6" w:rsidRPr="00DE2DD6" w:rsidRDefault="00DE2DD6" w:rsidP="00F97920">
      <w:pPr>
        <w:pStyle w:val="a3"/>
        <w:tabs>
          <w:tab w:val="left" w:pos="851"/>
        </w:tabs>
        <w:ind w:left="85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5616D" w:rsidRPr="00DE2DD6" w:rsidRDefault="0095616D" w:rsidP="00F97920">
      <w:pPr>
        <w:pStyle w:val="a3"/>
        <w:tabs>
          <w:tab w:val="left" w:pos="851"/>
        </w:tabs>
        <w:ind w:left="85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97920" w:rsidRPr="00DE2DD6" w:rsidRDefault="00F97920" w:rsidP="00F34654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D6">
        <w:rPr>
          <w:rFonts w:ascii="Times New Roman" w:hAnsi="Times New Roman" w:cs="Times New Roman"/>
          <w:b/>
          <w:sz w:val="28"/>
          <w:szCs w:val="28"/>
          <w:lang w:val="ky-KG"/>
        </w:rPr>
        <w:t>Байгелерди алуунун шарттары:</w:t>
      </w:r>
    </w:p>
    <w:p w:rsidR="00F97920" w:rsidRPr="00DE2DD6" w:rsidRDefault="00F97920" w:rsidP="00F97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7920" w:rsidRPr="00DE2DD6" w:rsidRDefault="00FF7095" w:rsidP="00FF7095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7920" w:rsidRPr="00DE2DD6">
        <w:rPr>
          <w:rFonts w:ascii="Times New Roman" w:hAnsi="Times New Roman" w:cs="Times New Roman"/>
          <w:sz w:val="28"/>
          <w:szCs w:val="28"/>
          <w:lang w:val="ky-KG"/>
        </w:rPr>
        <w:t>Байгелер Банктын бөлүмдөрүндө байгелерди тапшыруу салтанатында тапшырылат.</w:t>
      </w:r>
    </w:p>
    <w:p w:rsidR="00DE2DD6" w:rsidRPr="00DE2DD6" w:rsidRDefault="00DE2DD6" w:rsidP="00DE2DD6">
      <w:pPr>
        <w:pStyle w:val="a3"/>
        <w:tabs>
          <w:tab w:val="left" w:pos="851"/>
          <w:tab w:val="left" w:pos="993"/>
        </w:tabs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ED6E8E" w:rsidRPr="00DE2DD6" w:rsidRDefault="00ED6E8E" w:rsidP="00ED6E8E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Сыйлыктар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төмөнкүдөй шартта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ыйгарылат:</w:t>
      </w:r>
    </w:p>
    <w:p w:rsidR="00ED6E8E" w:rsidRPr="00DE2DD6" w:rsidRDefault="00ED6E8E" w:rsidP="00ED6E8E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ар бир аралык этаптын аягында, 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аралык 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этап аяктагандан тартып 45 күнгө чейин;</w:t>
      </w:r>
    </w:p>
    <w:p w:rsidR="00ED6E8E" w:rsidRPr="00DE2DD6" w:rsidRDefault="00ED6E8E" w:rsidP="00ED6E8E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Акциянын негизги этабынын аягында 2024-жылдын 31-октябрына чейин</w:t>
      </w:r>
      <w:r w:rsidR="00DE2DD6" w:rsidRPr="00DE2DD6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ED6E8E" w:rsidRPr="00DE2DD6" w:rsidRDefault="00ED6E8E" w:rsidP="00ED6E8E">
      <w:pPr>
        <w:pStyle w:val="a3"/>
        <w:tabs>
          <w:tab w:val="left" w:pos="851"/>
          <w:tab w:val="left" w:pos="993"/>
        </w:tabs>
        <w:ind w:left="1866"/>
        <w:jc w:val="both"/>
        <w:rPr>
          <w:rFonts w:ascii="Times New Roman" w:hAnsi="Times New Roman" w:cs="Times New Roman"/>
          <w:sz w:val="28"/>
          <w:szCs w:val="28"/>
        </w:rPr>
      </w:pPr>
    </w:p>
    <w:p w:rsidR="00F97920" w:rsidRPr="00DE2DD6" w:rsidRDefault="00F97920" w:rsidP="00FF7095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Банк Башкармасынын Акциянын жыйынтыктары тууралуу кабыл алган чечими  бардык катышуучулар үчүн акыркы болуп саналат жана  даттанууга тиешелүү болбойт.</w:t>
      </w:r>
    </w:p>
    <w:p w:rsidR="00DE2DD6" w:rsidRPr="00DE2DD6" w:rsidRDefault="00DE2DD6" w:rsidP="00DE2DD6">
      <w:pPr>
        <w:pStyle w:val="a3"/>
        <w:tabs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7920" w:rsidRPr="00DE2DD6" w:rsidRDefault="00F97920" w:rsidP="00FF7095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>Бул Эрежелер, ошондой эле аларга карата  өзгөртүүлөр  аларды Банк Башкармасынын токтому менен бекиткен учурдан тартып күчүнө кирет.</w:t>
      </w:r>
    </w:p>
    <w:p w:rsidR="00DE2DD6" w:rsidRPr="00DE2DD6" w:rsidRDefault="00DE2DD6" w:rsidP="00DE2D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920" w:rsidRPr="00DE2DD6" w:rsidRDefault="00F97920" w:rsidP="00FF7095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Бул Эрежелер, ошондой эле аларга карата  өзгөртүүлөр  Банктын </w:t>
      </w:r>
      <w:r w:rsidRPr="00DE2DD6">
        <w:rPr>
          <w:rFonts w:ascii="Times New Roman" w:hAnsi="Times New Roman" w:cs="Times New Roman"/>
          <w:sz w:val="28"/>
          <w:szCs w:val="28"/>
        </w:rPr>
        <w:fldChar w:fldCharType="begin"/>
      </w:r>
      <w:r w:rsidRPr="00DE2DD6">
        <w:rPr>
          <w:rFonts w:ascii="Times New Roman" w:hAnsi="Times New Roman" w:cs="Times New Roman"/>
          <w:sz w:val="28"/>
          <w:szCs w:val="28"/>
        </w:rPr>
        <w:instrText xml:space="preserve"> HYPERLINK "http://www.rsk.kg" </w:instrText>
      </w:r>
      <w:r w:rsidRPr="00DE2DD6">
        <w:rPr>
          <w:rFonts w:ascii="Times New Roman" w:hAnsi="Times New Roman" w:cs="Times New Roman"/>
          <w:sz w:val="28"/>
          <w:szCs w:val="28"/>
        </w:rPr>
        <w:fldChar w:fldCharType="separate"/>
      </w:r>
      <w:r w:rsidRPr="00DE2DD6">
        <w:rPr>
          <w:rStyle w:val="a5"/>
          <w:rFonts w:ascii="Times New Roman" w:hAnsi="Times New Roman" w:cs="Times New Roman"/>
          <w:sz w:val="28"/>
          <w:szCs w:val="28"/>
          <w:lang w:val="en-US"/>
        </w:rPr>
        <w:t>www</w:t>
      </w:r>
      <w:r w:rsidRPr="00DE2DD6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DE2DD6">
        <w:rPr>
          <w:rStyle w:val="a5"/>
          <w:rFonts w:ascii="Times New Roman" w:hAnsi="Times New Roman" w:cs="Times New Roman"/>
          <w:sz w:val="28"/>
          <w:szCs w:val="28"/>
          <w:lang w:val="en-US"/>
        </w:rPr>
        <w:t>rsk</w:t>
      </w:r>
      <w:proofErr w:type="spellEnd"/>
      <w:r w:rsidRPr="00DE2DD6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DE2DD6">
        <w:rPr>
          <w:rStyle w:val="a5"/>
          <w:rFonts w:ascii="Times New Roman" w:hAnsi="Times New Roman" w:cs="Times New Roman"/>
          <w:sz w:val="28"/>
          <w:szCs w:val="28"/>
          <w:lang w:val="en-US"/>
        </w:rPr>
        <w:t>kg</w:t>
      </w:r>
      <w:r w:rsidRPr="00DE2DD6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DE2DD6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DE2DD6">
        <w:rPr>
          <w:rFonts w:ascii="Times New Roman" w:hAnsi="Times New Roman" w:cs="Times New Roman"/>
          <w:sz w:val="28"/>
          <w:szCs w:val="28"/>
          <w:lang w:val="ky-KG"/>
        </w:rPr>
        <w:t>сайтына жайгаштырылат.</w:t>
      </w:r>
      <w:r w:rsidR="00FF7095" w:rsidRPr="00DE2DD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00C68" w:rsidRPr="00DE2DD6" w:rsidRDefault="00F00C68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F00C68" w:rsidRPr="00DE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yrghyz Time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2C2"/>
    <w:multiLevelType w:val="hybridMultilevel"/>
    <w:tmpl w:val="7FBCDA3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047B0089"/>
    <w:multiLevelType w:val="hybridMultilevel"/>
    <w:tmpl w:val="4A44800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A9B1C37"/>
    <w:multiLevelType w:val="multilevel"/>
    <w:tmpl w:val="C46627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641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D04C18"/>
    <w:multiLevelType w:val="multilevel"/>
    <w:tmpl w:val="15CC7E3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00867B5"/>
    <w:multiLevelType w:val="multilevel"/>
    <w:tmpl w:val="CCF456F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F005A5"/>
    <w:multiLevelType w:val="hybridMultilevel"/>
    <w:tmpl w:val="F0C40F08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434B4F42"/>
    <w:multiLevelType w:val="hybridMultilevel"/>
    <w:tmpl w:val="4E3CD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394293F"/>
    <w:multiLevelType w:val="multilevel"/>
    <w:tmpl w:val="4C002C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5B3E1720"/>
    <w:multiLevelType w:val="multilevel"/>
    <w:tmpl w:val="A51CA9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3913DF"/>
    <w:multiLevelType w:val="hybridMultilevel"/>
    <w:tmpl w:val="2E328A1C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60B84DD5"/>
    <w:multiLevelType w:val="hybridMultilevel"/>
    <w:tmpl w:val="0624F064"/>
    <w:lvl w:ilvl="0" w:tplc="BF1AFB5E">
      <w:start w:val="2023"/>
      <w:numFmt w:val="bullet"/>
      <w:lvlText w:val="-"/>
      <w:lvlJc w:val="left"/>
      <w:pPr>
        <w:ind w:left="720" w:hanging="360"/>
      </w:pPr>
      <w:rPr>
        <w:rFonts w:ascii="Kyrghyz Times" w:eastAsiaTheme="minorHAnsi" w:hAnsi="Kyrghyz Times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822B0"/>
    <w:multiLevelType w:val="hybridMultilevel"/>
    <w:tmpl w:val="953C9E3C"/>
    <w:lvl w:ilvl="0" w:tplc="5FFE0462">
      <w:start w:val="2024"/>
      <w:numFmt w:val="bullet"/>
      <w:lvlText w:val="-"/>
      <w:lvlJc w:val="left"/>
      <w:pPr>
        <w:ind w:left="179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2">
    <w:nsid w:val="7AF3202F"/>
    <w:multiLevelType w:val="multilevel"/>
    <w:tmpl w:val="A9048350"/>
    <w:lvl w:ilvl="0">
      <w:start w:val="3"/>
      <w:numFmt w:val="decimal"/>
      <w:lvlText w:val="%1."/>
      <w:lvlJc w:val="left"/>
      <w:pPr>
        <w:ind w:left="2577" w:hanging="450"/>
      </w:pPr>
      <w:rPr>
        <w:rFonts w:hint="default"/>
        <w:color w:val="000000"/>
        <w:lang w:val="ky-KG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7EF67A7A"/>
    <w:multiLevelType w:val="multilevel"/>
    <w:tmpl w:val="C3C86A0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563C1" w:themeColor="hyperlink"/>
        <w:u w:val="single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color w:val="0563C1" w:themeColor="hyperlink"/>
        <w:u w:val="singl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563C1" w:themeColor="hyperlink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563C1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563C1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563C1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563C1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563C1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563C1" w:themeColor="hyperlink"/>
        <w:u w:val="singl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8B"/>
    <w:rsid w:val="000305DE"/>
    <w:rsid w:val="000609A4"/>
    <w:rsid w:val="000D4363"/>
    <w:rsid w:val="001A20E5"/>
    <w:rsid w:val="001A45B1"/>
    <w:rsid w:val="001E7DE5"/>
    <w:rsid w:val="001F6643"/>
    <w:rsid w:val="002404D3"/>
    <w:rsid w:val="00290937"/>
    <w:rsid w:val="003045ED"/>
    <w:rsid w:val="0045728B"/>
    <w:rsid w:val="005225C4"/>
    <w:rsid w:val="00540771"/>
    <w:rsid w:val="005875BC"/>
    <w:rsid w:val="007244AF"/>
    <w:rsid w:val="00730B31"/>
    <w:rsid w:val="00781B8E"/>
    <w:rsid w:val="007827BE"/>
    <w:rsid w:val="009224DE"/>
    <w:rsid w:val="0095616D"/>
    <w:rsid w:val="00A5198A"/>
    <w:rsid w:val="00A72F9F"/>
    <w:rsid w:val="00AE5385"/>
    <w:rsid w:val="00AF49C1"/>
    <w:rsid w:val="00B10FCB"/>
    <w:rsid w:val="00C21135"/>
    <w:rsid w:val="00C377BB"/>
    <w:rsid w:val="00CC16F3"/>
    <w:rsid w:val="00D05B8E"/>
    <w:rsid w:val="00D26666"/>
    <w:rsid w:val="00D815A5"/>
    <w:rsid w:val="00D91849"/>
    <w:rsid w:val="00D91E0C"/>
    <w:rsid w:val="00DC7B23"/>
    <w:rsid w:val="00DE2DD6"/>
    <w:rsid w:val="00E06906"/>
    <w:rsid w:val="00E23664"/>
    <w:rsid w:val="00E56761"/>
    <w:rsid w:val="00E84910"/>
    <w:rsid w:val="00ED6E8E"/>
    <w:rsid w:val="00F00C68"/>
    <w:rsid w:val="00F1214A"/>
    <w:rsid w:val="00F34654"/>
    <w:rsid w:val="00F97920"/>
    <w:rsid w:val="00FA311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D6035-CD65-4619-BF82-39D81830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28B"/>
    <w:pPr>
      <w:ind w:left="720"/>
      <w:contextualSpacing/>
    </w:pPr>
  </w:style>
  <w:style w:type="paragraph" w:styleId="a4">
    <w:name w:val="No Spacing"/>
    <w:uiPriority w:val="1"/>
    <w:qFormat/>
    <w:rsid w:val="00457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728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572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Зирек Абдыкааровна</dc:creator>
  <cp:keywords/>
  <dc:description/>
  <cp:lastModifiedBy>Асанова Зирек Абдыкааровна</cp:lastModifiedBy>
  <cp:revision>42</cp:revision>
  <dcterms:created xsi:type="dcterms:W3CDTF">2024-04-01T03:13:00Z</dcterms:created>
  <dcterms:modified xsi:type="dcterms:W3CDTF">2024-04-01T10:23:00Z</dcterms:modified>
</cp:coreProperties>
</file>